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92261" w14:textId="77777777" w:rsidR="00E120A3" w:rsidRPr="00EA6FDD" w:rsidRDefault="00E120A3" w:rsidP="00E120A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( 30→20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0D68C28D" w14:textId="77777777" w:rsidR="00E120A3" w:rsidRDefault="00E120A3" w:rsidP="00E120A3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(تربية بدنية -  ميكانيكي محركات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ميكانيكي آليات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كهربائي أبنية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مصلح راديو و تلفزيون)</w:t>
      </w:r>
    </w:p>
    <w:p w14:paraId="06FC5080" w14:textId="77777777" w:rsidR="00E120A3" w:rsidRPr="00E120A3" w:rsidRDefault="008C0841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120A3" w:rsidRPr="00E120A3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 – mouvement</w:t>
      </w:r>
    </w:p>
    <w:tbl>
      <w:tblPr>
        <w:tblStyle w:val="TableGrid"/>
        <w:tblpPr w:leftFromText="180" w:rightFromText="180" w:vertAnchor="text" w:horzAnchor="page" w:tblpX="548" w:tblpY="68"/>
        <w:tblW w:w="14709" w:type="dxa"/>
        <w:tblLayout w:type="fixed"/>
        <w:tblLook w:val="04A0" w:firstRow="1" w:lastRow="0" w:firstColumn="1" w:lastColumn="0" w:noHBand="0" w:noVBand="1"/>
      </w:tblPr>
      <w:tblGrid>
        <w:gridCol w:w="4219"/>
        <w:gridCol w:w="4961"/>
        <w:gridCol w:w="5529"/>
      </w:tblGrid>
      <w:tr w:rsidR="00E120A3" w14:paraId="6EEEC4B0" w14:textId="77777777" w:rsidTr="004A1B99">
        <w:trPr>
          <w:cantSplit/>
          <w:trHeight w:val="417"/>
        </w:trPr>
        <w:tc>
          <w:tcPr>
            <w:tcW w:w="4219" w:type="dxa"/>
          </w:tcPr>
          <w:p w14:paraId="18A8F799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1" w:type="dxa"/>
          </w:tcPr>
          <w:p w14:paraId="252F6BCB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529" w:type="dxa"/>
          </w:tcPr>
          <w:p w14:paraId="274721F7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4D7F120E" w14:textId="77777777" w:rsidTr="004A1B99">
        <w:tc>
          <w:tcPr>
            <w:tcW w:w="4219" w:type="dxa"/>
          </w:tcPr>
          <w:p w14:paraId="58FC8A7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mouvement et de repos</w:t>
            </w:r>
          </w:p>
          <w:p w14:paraId="6B592B9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les différentes formes des trajectoires</w:t>
            </w:r>
          </w:p>
        </w:tc>
        <w:tc>
          <w:tcPr>
            <w:tcW w:w="4961" w:type="dxa"/>
          </w:tcPr>
          <w:p w14:paraId="56E9D4F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 référentiel du mouvement choisi</w:t>
            </w:r>
          </w:p>
          <w:p w14:paraId="639CAA1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 mouvement rectiligne, circulaire et curviligne</w:t>
            </w:r>
          </w:p>
        </w:tc>
        <w:tc>
          <w:tcPr>
            <w:tcW w:w="5529" w:type="dxa"/>
          </w:tcPr>
          <w:p w14:paraId="0C3595A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mouvement et repos (à partir des exemples)</w:t>
            </w:r>
          </w:p>
          <w:p w14:paraId="7EBA55E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différentes formes de mouvement</w:t>
            </w:r>
          </w:p>
        </w:tc>
      </w:tr>
    </w:tbl>
    <w:p w14:paraId="1EE47C54" w14:textId="77777777" w:rsidR="00E120A3" w:rsidRDefault="00E120A3" w:rsidP="00E120A3">
      <w:pPr>
        <w:spacing w:line="240" w:lineRule="auto"/>
        <w:rPr>
          <w:sz w:val="32"/>
          <w:szCs w:val="32"/>
          <w:lang w:val="fr-FR"/>
        </w:rPr>
      </w:pPr>
    </w:p>
    <w:p w14:paraId="56E395EB" w14:textId="77777777" w:rsidR="00C22BDB" w:rsidRDefault="00C22BDB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09A4D20E" w14:textId="77777777" w:rsidR="00C22BDB" w:rsidRDefault="00C22BDB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1370CAA4" w14:textId="77777777" w:rsidR="00C22BDB" w:rsidRDefault="00C22BDB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3E8262CE" w14:textId="131B2540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Chapitre2- vitesse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023"/>
        <w:gridCol w:w="4536"/>
        <w:gridCol w:w="6291"/>
      </w:tblGrid>
      <w:tr w:rsidR="00E120A3" w14:paraId="1585913E" w14:textId="77777777" w:rsidTr="004A1B99">
        <w:tc>
          <w:tcPr>
            <w:tcW w:w="4023" w:type="dxa"/>
          </w:tcPr>
          <w:p w14:paraId="2B154CD5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14:paraId="6B31529B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291" w:type="dxa"/>
          </w:tcPr>
          <w:p w14:paraId="5E3AEC3C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6898E530" w14:textId="77777777" w:rsidTr="004A1B99">
        <w:tc>
          <w:tcPr>
            <w:tcW w:w="4023" w:type="dxa"/>
          </w:tcPr>
          <w:p w14:paraId="4021AA0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position, distance, temps, duré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vitesse</w:t>
            </w:r>
          </w:p>
          <w:p w14:paraId="6684925A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différentes formes de mouvement rectiligne</w:t>
            </w:r>
          </w:p>
        </w:tc>
        <w:tc>
          <w:tcPr>
            <w:tcW w:w="4536" w:type="dxa"/>
          </w:tcPr>
          <w:p w14:paraId="06EF6F4D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relation entre la distance parcourue et la durée (vitesse moyenne)</w:t>
            </w:r>
          </w:p>
          <w:p w14:paraId="2A8D7FF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que la vitesse instantanée est l’indication du compteur de vitesse</w:t>
            </w:r>
          </w:p>
          <w:p w14:paraId="1172F9E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trois formes de mouvement rectiligne</w:t>
            </w:r>
          </w:p>
        </w:tc>
        <w:tc>
          <w:tcPr>
            <w:tcW w:w="6291" w:type="dxa"/>
          </w:tcPr>
          <w:p w14:paraId="02E9DE3A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position et la distance parcouru (à partir des exemples)</w:t>
            </w:r>
          </w:p>
          <w:p w14:paraId="60FEF93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temps et duré</w:t>
            </w:r>
          </w:p>
          <w:p w14:paraId="30AC6C6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vitesse instantané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moyenne</w:t>
            </w:r>
          </w:p>
          <w:p w14:paraId="61C7BB0E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Spécifier la nature de mouvement à partir d’une représentation graphique</w:t>
            </w:r>
          </w:p>
          <w:p w14:paraId="465FE9C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équations horaires graphiquement et analytiquement</w:t>
            </w:r>
          </w:p>
        </w:tc>
      </w:tr>
    </w:tbl>
    <w:p w14:paraId="4C9D577A" w14:textId="77777777" w:rsidR="00E120A3" w:rsidRPr="00E120A3" w:rsidRDefault="00E120A3" w:rsidP="00E120A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</w:p>
    <w:p w14:paraId="4B31B285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Chapitre-3-  sécurité dans la voiture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E120A3" w14:paraId="6B73C5C5" w14:textId="77777777" w:rsidTr="004A1B99">
        <w:tc>
          <w:tcPr>
            <w:tcW w:w="4752" w:type="dxa"/>
          </w:tcPr>
          <w:p w14:paraId="4C9A71EE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5C119A97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2A64789C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4C7E0A39" w14:textId="77777777" w:rsidTr="004A1B99">
        <w:tc>
          <w:tcPr>
            <w:tcW w:w="4752" w:type="dxa"/>
          </w:tcPr>
          <w:p w14:paraId="5377133F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les éléments de sécurité dans la voiture </w:t>
            </w:r>
          </w:p>
          <w:p w14:paraId="1A2A3B52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les facteurs dangereux dans la conduite </w:t>
            </w:r>
          </w:p>
        </w:tc>
        <w:tc>
          <w:tcPr>
            <w:tcW w:w="4752" w:type="dxa"/>
          </w:tcPr>
          <w:p w14:paraId="61326DB0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les avantages et les inconvénients des éléments de sécurités  </w:t>
            </w:r>
          </w:p>
          <w:p w14:paraId="66A6DBEA" w14:textId="77777777" w:rsidR="00E120A3" w:rsidRPr="00D00F23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les causes principales qui donnent la somnolence</w:t>
            </w:r>
          </w:p>
        </w:tc>
        <w:tc>
          <w:tcPr>
            <w:tcW w:w="5346" w:type="dxa"/>
          </w:tcPr>
          <w:p w14:paraId="2A4F9E30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Répondre aux questions posées dans la vie courante dépend des éléments de sécurité </w:t>
            </w:r>
          </w:p>
          <w:p w14:paraId="4B746CC8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Assurer la bonne condition pour éviter la somnolence</w:t>
            </w:r>
          </w:p>
        </w:tc>
      </w:tr>
    </w:tbl>
    <w:p w14:paraId="1A5B172F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Chapitre-4-  température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448"/>
        <w:gridCol w:w="4820"/>
        <w:gridCol w:w="5582"/>
      </w:tblGrid>
      <w:tr w:rsidR="00E120A3" w14:paraId="3B41BF10" w14:textId="77777777" w:rsidTr="004A1B99">
        <w:tc>
          <w:tcPr>
            <w:tcW w:w="4448" w:type="dxa"/>
          </w:tcPr>
          <w:p w14:paraId="33951DD2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14:paraId="7AA5E085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582" w:type="dxa"/>
          </w:tcPr>
          <w:p w14:paraId="48A34959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462942B2" w14:textId="77777777" w:rsidTr="004A1B99">
        <w:tc>
          <w:tcPr>
            <w:tcW w:w="4448" w:type="dxa"/>
          </w:tcPr>
          <w:p w14:paraId="644B999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la température et l’équilibre thermique</w:t>
            </w:r>
          </w:p>
          <w:p w14:paraId="434FE1FD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thermomètre</w:t>
            </w:r>
          </w:p>
          <w:p w14:paraId="6A9D803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 les échelles thermométriques</w:t>
            </w:r>
          </w:p>
        </w:tc>
        <w:tc>
          <w:tcPr>
            <w:tcW w:w="4820" w:type="dxa"/>
          </w:tcPr>
          <w:p w14:paraId="374CF85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un corps chaud d’un corps froid</w:t>
            </w:r>
          </w:p>
          <w:p w14:paraId="1EDF7E6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Découvrir  l’échange thermique entre les objets</w:t>
            </w:r>
          </w:p>
          <w:p w14:paraId="7F008DED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les points critiques des matières</w:t>
            </w:r>
          </w:p>
        </w:tc>
        <w:tc>
          <w:tcPr>
            <w:tcW w:w="5582" w:type="dxa"/>
          </w:tcPr>
          <w:p w14:paraId="5351C7DD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 la température est liée au mouvement des particules qui constituent le corps</w:t>
            </w:r>
          </w:p>
          <w:p w14:paraId="036D526A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 principe zéro de la thermodynamique</w:t>
            </w:r>
          </w:p>
          <w:p w14:paraId="13FF59E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entre les échelles thermométriques</w:t>
            </w:r>
          </w:p>
        </w:tc>
      </w:tr>
    </w:tbl>
    <w:p w14:paraId="37F07497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Chapitre-5-  chaleur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5866"/>
        <w:gridCol w:w="3638"/>
        <w:gridCol w:w="5346"/>
      </w:tblGrid>
      <w:tr w:rsidR="00E120A3" w14:paraId="5A1B5B58" w14:textId="77777777" w:rsidTr="004A1B99">
        <w:tc>
          <w:tcPr>
            <w:tcW w:w="5866" w:type="dxa"/>
          </w:tcPr>
          <w:p w14:paraId="1EB59B1A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638" w:type="dxa"/>
          </w:tcPr>
          <w:p w14:paraId="380BEA8B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3C31B5E1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16A1E804" w14:textId="77777777" w:rsidTr="004A1B99">
        <w:tc>
          <w:tcPr>
            <w:tcW w:w="5866" w:type="dxa"/>
          </w:tcPr>
          <w:p w14:paraId="668C1A4E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la chaleur</w:t>
            </w:r>
          </w:p>
          <w:p w14:paraId="27DA0C4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quantité de chaleur</w:t>
            </w:r>
          </w:p>
          <w:p w14:paraId="7316203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les différentes modes de transfert de la chaleur</w:t>
            </w:r>
          </w:p>
          <w:p w14:paraId="32DEB3B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capacité calorifique d’un objet</w:t>
            </w:r>
          </w:p>
          <w:p w14:paraId="24A0AC1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les unités de la chaleur et les relations entre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eux</w:t>
            </w:r>
          </w:p>
        </w:tc>
        <w:tc>
          <w:tcPr>
            <w:tcW w:w="3638" w:type="dxa"/>
          </w:tcPr>
          <w:p w14:paraId="42F62AC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Différencier entre la chaleur et la température</w:t>
            </w:r>
          </w:p>
          <w:p w14:paraId="78D3A78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les facteurs dont dépend la quantité de la chaleur</w:t>
            </w:r>
          </w:p>
          <w:p w14:paraId="6ACF99D9" w14:textId="77777777" w:rsidR="00E120A3" w:rsidRPr="0015430B" w:rsidRDefault="00E120A3" w:rsidP="004A1B99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5346" w:type="dxa"/>
          </w:tcPr>
          <w:p w14:paraId="394DFA9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la relation entre la quantité de chaleur et ses facteurs</w:t>
            </w:r>
          </w:p>
          <w:p w14:paraId="7F92535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 principe de l’échange de la chaleur</w:t>
            </w:r>
          </w:p>
          <w:p w14:paraId="2B93C8B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les modes de transfert de la chaleur</w:t>
            </w:r>
          </w:p>
          <w:p w14:paraId="5F889AA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Choisir des exemples quotidiens sur les modes de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transfert de la chaleur</w:t>
            </w:r>
          </w:p>
        </w:tc>
      </w:tr>
    </w:tbl>
    <w:p w14:paraId="5C4E91C8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lastRenderedPageBreak/>
        <w:t>Chapitre-6- état physique de la matière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E120A3" w14:paraId="68C451A7" w14:textId="77777777" w:rsidTr="004A1B99">
        <w:tc>
          <w:tcPr>
            <w:tcW w:w="4752" w:type="dxa"/>
          </w:tcPr>
          <w:p w14:paraId="4D3B8590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7F7FD254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65B4EBBB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674C1073" w14:textId="77777777" w:rsidTr="004A1B99">
        <w:tc>
          <w:tcPr>
            <w:tcW w:w="4752" w:type="dxa"/>
          </w:tcPr>
          <w:p w14:paraId="4E7D630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de la matière</w:t>
            </w:r>
          </w:p>
          <w:p w14:paraId="3B4C40C8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différents états physiques de la matière (les plus connus)</w:t>
            </w:r>
          </w:p>
        </w:tc>
        <w:tc>
          <w:tcPr>
            <w:tcW w:w="4752" w:type="dxa"/>
          </w:tcPr>
          <w:p w14:paraId="775E1890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Caractériser chaque état de la matière</w:t>
            </w:r>
          </w:p>
        </w:tc>
        <w:tc>
          <w:tcPr>
            <w:tcW w:w="5346" w:type="dxa"/>
          </w:tcPr>
          <w:p w14:paraId="6FE13955" w14:textId="77777777" w:rsidR="00E120A3" w:rsidRDefault="00E120A3" w:rsidP="004A1B99">
            <w:pPr>
              <w:pStyle w:val="ListParagraph"/>
              <w:ind w:left="360"/>
              <w:jc w:val="both"/>
              <w:rPr>
                <w:sz w:val="28"/>
                <w:szCs w:val="28"/>
                <w:lang w:val="fr-FR"/>
              </w:rPr>
            </w:pPr>
          </w:p>
          <w:p w14:paraId="2E6156CF" w14:textId="77777777" w:rsidR="00E120A3" w:rsidRPr="007E3F29" w:rsidRDefault="00E120A3" w:rsidP="004A1B99">
            <w:pPr>
              <w:ind w:firstLine="720"/>
              <w:jc w:val="both"/>
              <w:rPr>
                <w:sz w:val="28"/>
                <w:szCs w:val="28"/>
                <w:lang w:val="fr-FR"/>
              </w:rPr>
            </w:pPr>
          </w:p>
        </w:tc>
      </w:tr>
    </w:tbl>
    <w:p w14:paraId="6C1FF007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Chapitre-7-  changement d’état physique de la matière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931"/>
        <w:gridCol w:w="5167"/>
      </w:tblGrid>
      <w:tr w:rsidR="00E120A3" w14:paraId="161CB0E0" w14:textId="77777777" w:rsidTr="004A1B99">
        <w:tc>
          <w:tcPr>
            <w:tcW w:w="4752" w:type="dxa"/>
          </w:tcPr>
          <w:p w14:paraId="20483E19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31" w:type="dxa"/>
          </w:tcPr>
          <w:p w14:paraId="0E82FACF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167" w:type="dxa"/>
          </w:tcPr>
          <w:p w14:paraId="51DC93BE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1D82C2FF" w14:textId="77777777" w:rsidTr="004A1B99">
        <w:tc>
          <w:tcPr>
            <w:tcW w:w="4752" w:type="dxa"/>
          </w:tcPr>
          <w:p w14:paraId="65BA347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changement d’état</w:t>
            </w:r>
          </w:p>
          <w:p w14:paraId="337C018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différents types du changement d’état</w:t>
            </w:r>
          </w:p>
          <w:p w14:paraId="3752EC9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que le changement d’état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dépend de la matière et de la chaleur</w:t>
            </w:r>
          </w:p>
        </w:tc>
        <w:tc>
          <w:tcPr>
            <w:tcW w:w="4931" w:type="dxa"/>
          </w:tcPr>
          <w:p w14:paraId="034B02D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les modes de changement d’état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14:paraId="6FB8F5D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 le changement d’état  s’effectue sans changement de température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14:paraId="25BBAC4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Déterminer la relation nécessaire aux changements d’état</w:t>
            </w:r>
          </w:p>
        </w:tc>
        <w:tc>
          <w:tcPr>
            <w:tcW w:w="5167" w:type="dxa"/>
          </w:tcPr>
          <w:p w14:paraId="2BCDA7C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les lois de changement d’état</w:t>
            </w:r>
          </w:p>
          <w:p w14:paraId="0BA9E0F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les diverses formes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 la chaleur latente</w:t>
            </w:r>
          </w:p>
          <w:p w14:paraId="0F2870F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Maitriser la relation liant la chaleur au changement d’état</w:t>
            </w:r>
          </w:p>
        </w:tc>
      </w:tr>
    </w:tbl>
    <w:p w14:paraId="3C7F6F81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7FE56A8C" w14:textId="77777777" w:rsidR="00E120A3" w:rsidRPr="00EA6FDD" w:rsidRDefault="00E120A3" w:rsidP="00E120A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( 30→20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1F357007" w14:textId="77777777" w:rsidR="00E120A3" w:rsidRDefault="00E120A3" w:rsidP="00E120A3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(تربية بدنية -  ميكانيكي محركات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ميكانيكي آليات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كهربائي أبنية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مصلح راديو و تلفزيون)</w:t>
      </w:r>
    </w:p>
    <w:p w14:paraId="6017770F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  <w:specVanish/>
        </w:rPr>
        <w:t>Chimie</w:t>
      </w: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 xml:space="preserve"> -Chapitre-1-  Structure de l’atome</w:t>
      </w:r>
    </w:p>
    <w:tbl>
      <w:tblPr>
        <w:tblStyle w:val="TableGrid"/>
        <w:tblpPr w:leftFromText="180" w:rightFromText="180" w:vertAnchor="text" w:horzAnchor="margin" w:tblpXSpec="center" w:tblpY="123"/>
        <w:tblW w:w="15382" w:type="dxa"/>
        <w:tblLook w:val="04A0" w:firstRow="1" w:lastRow="0" w:firstColumn="1" w:lastColumn="0" w:noHBand="0" w:noVBand="1"/>
      </w:tblPr>
      <w:tblGrid>
        <w:gridCol w:w="7768"/>
        <w:gridCol w:w="90"/>
        <w:gridCol w:w="4917"/>
        <w:gridCol w:w="2607"/>
      </w:tblGrid>
      <w:tr w:rsidR="00E120A3" w14:paraId="6BBABA55" w14:textId="77777777" w:rsidTr="004A1B99"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F7554" w14:textId="77777777" w:rsidR="00E120A3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50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51386" w14:textId="77777777" w:rsidR="00E120A3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AC6D5" w14:textId="77777777" w:rsidR="00E120A3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E120A3" w:rsidRPr="006B2D98" w14:paraId="6228B2DC" w14:textId="77777777" w:rsidTr="004A1B99">
        <w:trPr>
          <w:trHeight w:val="2675"/>
        </w:trPr>
        <w:tc>
          <w:tcPr>
            <w:tcW w:w="7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B50BA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d’un élément chimique.</w:t>
            </w:r>
          </w:p>
          <w:p w14:paraId="7CA4E787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éléments du tableau périodique.</w:t>
            </w:r>
          </w:p>
          <w:p w14:paraId="5D531EE7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neutralité d’un atome.</w:t>
            </w:r>
          </w:p>
          <w:p w14:paraId="58D55D4E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termes suivants : numéro atomique(Z), nombre de masse (A), masse atomique et isotopes.</w:t>
            </w:r>
          </w:p>
          <w:p w14:paraId="0C696DEE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le nombre des neutrons.</w:t>
            </w:r>
          </w:p>
          <w:p w14:paraId="43AAE8DA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20 premiers éléments du tableau périodique par leurs symboles électroniques (représentation de Lewis).</w:t>
            </w:r>
          </w:p>
          <w:p w14:paraId="0EB3BF2D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 (Utiliser la mole comme unité de la quantité de matière).</w:t>
            </w:r>
          </w:p>
        </w:tc>
        <w:tc>
          <w:tcPr>
            <w:tcW w:w="4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9DBDE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parties d’un atome.</w:t>
            </w:r>
          </w:p>
          <w:p w14:paraId="1534A82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particules de chaque partie d’un atome.</w:t>
            </w:r>
          </w:p>
          <w:p w14:paraId="20244F44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charge de chaque partie d’un atome.</w:t>
            </w:r>
          </w:p>
          <w:p w14:paraId="2C01AEC8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masse de chaque particule d’un atome.</w:t>
            </w:r>
          </w:p>
          <w:p w14:paraId="579B08A5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répartition des électrons autour du noyau dans les niveaux d’énergie.</w:t>
            </w:r>
          </w:p>
          <w:p w14:paraId="71A7818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 atome en utilisant Z et A.</w:t>
            </w:r>
          </w:p>
          <w:p w14:paraId="4221CF5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Ecrire les configurations électroniques des 20 premiers éléments du tableau périodique. </w:t>
            </w:r>
          </w:p>
          <w:p w14:paraId="261D3E90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entre les périodes et les groupes. </w:t>
            </w:r>
          </w:p>
          <w:p w14:paraId="4AF5E5FD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entre valence et électrons de valence.</w:t>
            </w: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50648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faire une recherche sur le développement historique du modèle atomique.</w:t>
            </w:r>
          </w:p>
          <w:p w14:paraId="484EDD29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487420B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Voir une vidéo sur le développement historique.</w:t>
            </w:r>
          </w:p>
          <w:p w14:paraId="23FD52CD" w14:textId="77777777" w:rsidR="00E120A3" w:rsidRPr="00702E3E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85E3BCB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4E629323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36B3912A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21D4BDDE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7984BDAB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746D4905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1F97476B" w14:textId="77777777" w:rsidR="00E120A3" w:rsidRDefault="00E120A3" w:rsidP="00E120A3">
      <w:pPr>
        <w:rPr>
          <w:sz w:val="36"/>
          <w:szCs w:val="36"/>
          <w:lang w:val="fr-FR"/>
        </w:rPr>
      </w:pPr>
    </w:p>
    <w:p w14:paraId="00D3689D" w14:textId="77777777" w:rsidR="00C22BDB" w:rsidRDefault="00C22BDB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27E9C171" w14:textId="77777777" w:rsidR="00C22BDB" w:rsidRDefault="00C22BDB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44388CBE" w14:textId="77777777" w:rsidR="00C22BDB" w:rsidRDefault="00C22BDB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5C58A5E6" w14:textId="77777777" w:rsidR="00C22BDB" w:rsidRDefault="00C22BDB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12BC6BD6" w14:textId="77777777" w:rsidR="00C22BDB" w:rsidRDefault="00C22BDB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474915B6" w14:textId="77777777" w:rsidR="00C22BDB" w:rsidRDefault="00C22BDB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099B9E6E" w14:textId="6181AFFB" w:rsidR="00E120A3" w:rsidRPr="00E120A3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Chapitre-2</w:t>
      </w:r>
      <w:proofErr w:type="gramStart"/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-  Les</w:t>
      </w:r>
      <w:proofErr w:type="gramEnd"/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 xml:space="preserve"> ions </w:t>
      </w:r>
    </w:p>
    <w:tbl>
      <w:tblPr>
        <w:tblStyle w:val="TableGrid"/>
        <w:tblpPr w:leftFromText="180" w:rightFromText="180" w:vertAnchor="text" w:horzAnchor="margin" w:tblpXSpec="center" w:tblpY="123"/>
        <w:tblW w:w="15300" w:type="dxa"/>
        <w:tblLook w:val="04A0" w:firstRow="1" w:lastRow="0" w:firstColumn="1" w:lastColumn="0" w:noHBand="0" w:noVBand="1"/>
      </w:tblPr>
      <w:tblGrid>
        <w:gridCol w:w="4765"/>
        <w:gridCol w:w="7110"/>
        <w:gridCol w:w="3425"/>
      </w:tblGrid>
      <w:tr w:rsidR="00E120A3" w:rsidRPr="00FE28FC" w14:paraId="74E5BB01" w14:textId="77777777" w:rsidTr="004A1B99"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98B2C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FCED14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FE6CB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120A3" w:rsidRPr="00B17621" w14:paraId="2B3A8977" w14:textId="77777777" w:rsidTr="004A1B99">
        <w:trPr>
          <w:trHeight w:val="2048"/>
        </w:trPr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41D96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Existence des ions.</w:t>
            </w:r>
          </w:p>
          <w:p w14:paraId="4C2FBFA9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monoatomiques.</w:t>
            </w:r>
          </w:p>
          <w:p w14:paraId="5ED88AC3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monoatomiques courants.</w:t>
            </w:r>
          </w:p>
          <w:p w14:paraId="345048E9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Formation.</w:t>
            </w:r>
          </w:p>
          <w:p w14:paraId="0709E5F8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Symbole et nomenclature.</w:t>
            </w:r>
          </w:p>
          <w:p w14:paraId="21C80DF9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polyatomiques.</w:t>
            </w:r>
          </w:p>
          <w:p w14:paraId="12CCC9C0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polyatomiques.</w:t>
            </w:r>
          </w:p>
          <w:p w14:paraId="55647861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composés ioniques.</w:t>
            </w:r>
          </w:p>
          <w:p w14:paraId="0A6B12D5" w14:textId="77777777" w:rsidR="00E120A3" w:rsidRPr="00E120A3" w:rsidRDefault="00E120A3" w:rsidP="00E120A3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E36F1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Mettre en évidence des porteurs de charge dans des composés.</w:t>
            </w:r>
          </w:p>
          <w:p w14:paraId="444E92EB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un anion et un cation.</w:t>
            </w:r>
          </w:p>
          <w:p w14:paraId="15671345" w14:textId="77777777" w:rsidR="00E120A3" w:rsidRPr="00D86AF5" w:rsidRDefault="00A16F81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Associer les</w:t>
            </w:r>
            <w:r w:rsidR="00E120A3"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couleurs à la présence de quelques ions en solutions aqueuses.</w:t>
            </w:r>
          </w:p>
          <w:p w14:paraId="2E5B0600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comment se forme un ion monoatomique.</w:t>
            </w:r>
          </w:p>
          <w:p w14:paraId="7501EFDC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règle de l’octet à la formation d’un ion monoatomique.</w:t>
            </w:r>
          </w:p>
          <w:p w14:paraId="665BBE29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les métaux conduisent à des cat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</w:t>
            </w: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 et les non-métaux à des anions.</w:t>
            </w:r>
          </w:p>
          <w:p w14:paraId="689B12D1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l’ion est une espèce chimique stable.</w:t>
            </w:r>
          </w:p>
          <w:p w14:paraId="202DD9A8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la formule statistique ne représente pas une molécule.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3D3EE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Observations des couleurs des ions en solutions aqueuses.</w:t>
            </w:r>
          </w:p>
          <w:p w14:paraId="1FE61965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métal rouge (Le cuivre). L’ion Cu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couleur bleu</w:t>
            </w:r>
          </w:p>
          <w:p w14:paraId="5968F98D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7FB85BA4" w14:textId="77777777" w:rsidR="00E120A3" w:rsidRDefault="00E120A3" w:rsidP="00E120A3">
      <w:pPr>
        <w:rPr>
          <w:sz w:val="36"/>
          <w:szCs w:val="36"/>
          <w:lang w:val="fr-FR"/>
        </w:rPr>
      </w:pPr>
    </w:p>
    <w:p w14:paraId="5EA0925F" w14:textId="77777777" w:rsidR="00E120A3" w:rsidRDefault="00E120A3" w:rsidP="00E120A3">
      <w:pPr>
        <w:rPr>
          <w:sz w:val="36"/>
          <w:szCs w:val="36"/>
          <w:lang w:val="fr-FR"/>
        </w:rPr>
      </w:pPr>
    </w:p>
    <w:p w14:paraId="511C20A6" w14:textId="77777777" w:rsidR="00E120A3" w:rsidRDefault="00E120A3" w:rsidP="00E120A3">
      <w:pPr>
        <w:rPr>
          <w:sz w:val="36"/>
          <w:szCs w:val="36"/>
          <w:lang w:val="fr-FR"/>
        </w:rPr>
      </w:pPr>
    </w:p>
    <w:p w14:paraId="3F1D6DDA" w14:textId="77777777" w:rsidR="00E120A3" w:rsidRPr="00E120A3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Chapitre-3-  Les molécules</w:t>
      </w:r>
    </w:p>
    <w:tbl>
      <w:tblPr>
        <w:tblStyle w:val="TableGrid"/>
        <w:tblpPr w:leftFromText="180" w:rightFromText="180" w:vertAnchor="text" w:horzAnchor="margin" w:tblpXSpec="center" w:tblpY="123"/>
        <w:tblW w:w="15377" w:type="dxa"/>
        <w:tblLook w:val="04A0" w:firstRow="1" w:lastRow="0" w:firstColumn="1" w:lastColumn="0" w:noHBand="0" w:noVBand="1"/>
      </w:tblPr>
      <w:tblGrid>
        <w:gridCol w:w="6295"/>
        <w:gridCol w:w="6660"/>
        <w:gridCol w:w="2422"/>
      </w:tblGrid>
      <w:tr w:rsidR="00E120A3" w:rsidRPr="00FE28FC" w14:paraId="14ED0BF4" w14:textId="77777777" w:rsidTr="004A1B99">
        <w:tc>
          <w:tcPr>
            <w:tcW w:w="6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C0D19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F6E2B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24BA6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120A3" w:rsidRPr="006B2D98" w14:paraId="0622E041" w14:textId="77777777" w:rsidTr="004A1B99">
        <w:trPr>
          <w:trHeight w:val="2138"/>
        </w:trPr>
        <w:tc>
          <w:tcPr>
            <w:tcW w:w="6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051CD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molécule.</w:t>
            </w:r>
          </w:p>
          <w:p w14:paraId="727F0E38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Enoncer la règle de l’octet.</w:t>
            </w:r>
          </w:p>
          <w:p w14:paraId="0F517800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chimique en fonction de la distribution des électrons dans un atome.</w:t>
            </w:r>
          </w:p>
          <w:p w14:paraId="43756301" w14:textId="77777777" w:rsidR="00E120A3" w:rsidRPr="00702E3E" w:rsidRDefault="004A1B99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</w:t>
            </w:r>
            <w:r w:rsidR="00E120A3"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mole.</w:t>
            </w:r>
          </w:p>
          <w:p w14:paraId="0963F063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 de la masse molaire d’une molécule.</w:t>
            </w:r>
          </w:p>
          <w:p w14:paraId="5A09C354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Constante d’Avogadro </w:t>
            </w:r>
          </w:p>
          <w:p w14:paraId="439764A7" w14:textId="77777777" w:rsidR="00E120A3" w:rsidRPr="00D86AF5" w:rsidRDefault="00E120A3" w:rsidP="004A1B9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A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= 6 × 10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23</w:t>
            </w:r>
          </w:p>
          <w:p w14:paraId="21FD2D2B" w14:textId="77777777" w:rsidR="00E120A3" w:rsidRPr="00702E3E" w:rsidRDefault="00E120A3" w:rsidP="004A1B99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A7D93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électrons de valence.</w:t>
            </w:r>
          </w:p>
          <w:p w14:paraId="757037A8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liaison covalente.</w:t>
            </w:r>
          </w:p>
          <w:p w14:paraId="6D141E44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les liaisons covalentes simples, doubles et triples.</w:t>
            </w:r>
          </w:p>
          <w:p w14:paraId="37DA08D2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formation d’une liaison ionique à partir d’atomes différents.</w:t>
            </w:r>
          </w:p>
          <w:p w14:paraId="42912C57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Mole de molécules</w:t>
            </w:r>
          </w:p>
          <w:p w14:paraId="565EED74" w14:textId="77777777" w:rsidR="00E120A3" w:rsidRPr="00702E3E" w:rsidRDefault="00E120A3" w:rsidP="004A1B9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2C871E8" w14:textId="77777777" w:rsidR="00E120A3" w:rsidRPr="00702E3E" w:rsidRDefault="00E120A3" w:rsidP="004A1B9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EC680F0" w14:textId="77777777" w:rsidR="00E120A3" w:rsidRPr="00702E3E" w:rsidRDefault="00E120A3" w:rsidP="004A1B99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D3EB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Substances covalentes et d’autres ioniques et relier cet usage à la nature de la liaison.</w:t>
            </w:r>
          </w:p>
          <w:p w14:paraId="7E6CEAC4" w14:textId="77777777" w:rsidR="00E120A3" w:rsidRPr="00702E3E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377690D" w14:textId="77777777" w:rsidR="00E120A3" w:rsidRPr="00702E3E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705D757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0301C135" w14:textId="77777777" w:rsidR="00E120A3" w:rsidRPr="009B7860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</w:p>
    <w:p w14:paraId="755DCC71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2A79021E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7F52F510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2C90618C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39FAFFB7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6D30F0BC" w14:textId="77777777" w:rsidR="00616E99" w:rsidRPr="00E120A3" w:rsidRDefault="00616E99" w:rsidP="00616E99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Chapitre-4-  Acides- Bases- Sels</w:t>
      </w:r>
    </w:p>
    <w:tbl>
      <w:tblPr>
        <w:tblStyle w:val="TableGrid"/>
        <w:tblW w:w="15309" w:type="dxa"/>
        <w:tblInd w:w="392" w:type="dxa"/>
        <w:tblLook w:val="04A0" w:firstRow="1" w:lastRow="0" w:firstColumn="1" w:lastColumn="0" w:noHBand="0" w:noVBand="1"/>
      </w:tblPr>
      <w:tblGrid>
        <w:gridCol w:w="4103"/>
        <w:gridCol w:w="5400"/>
        <w:gridCol w:w="5806"/>
      </w:tblGrid>
      <w:tr w:rsidR="00616E99" w:rsidRPr="00143C1D" w14:paraId="74DC7C10" w14:textId="77777777" w:rsidTr="004A1B99">
        <w:trPr>
          <w:trHeight w:val="211"/>
        </w:trPr>
        <w:tc>
          <w:tcPr>
            <w:tcW w:w="4103" w:type="dxa"/>
            <w:hideMark/>
          </w:tcPr>
          <w:p w14:paraId="099053A9" w14:textId="77777777" w:rsidR="00616E99" w:rsidRPr="00143C1D" w:rsidRDefault="00616E99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5400" w:type="dxa"/>
            <w:hideMark/>
          </w:tcPr>
          <w:p w14:paraId="00E63B83" w14:textId="77777777" w:rsidR="00616E99" w:rsidRPr="00143C1D" w:rsidRDefault="00616E99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5806" w:type="dxa"/>
            <w:hideMark/>
          </w:tcPr>
          <w:p w14:paraId="1B85BE26" w14:textId="77777777" w:rsidR="00616E99" w:rsidRPr="00143C1D" w:rsidRDefault="00616E99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616E99" w:rsidRPr="006B2D98" w14:paraId="50045B64" w14:textId="77777777" w:rsidTr="00616E99">
        <w:trPr>
          <w:trHeight w:val="2529"/>
        </w:trPr>
        <w:tc>
          <w:tcPr>
            <w:tcW w:w="4103" w:type="dxa"/>
          </w:tcPr>
          <w:p w14:paraId="4990695C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14:paraId="4426D41A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tabs>
                <w:tab w:val="left" w:pos="432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une base comme un </w:t>
            </w:r>
            <w:proofErr w:type="gramStart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donneur  de</w:t>
            </w:r>
            <w:proofErr w:type="gramEnd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OH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solution aqueuse.</w:t>
            </w:r>
          </w:p>
          <w:p w14:paraId="20A3AF95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14:paraId="42939B34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14:paraId="33B5FCF2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14:paraId="67B5AEB2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14:paraId="3FFBDA40" w14:textId="77777777" w:rsidR="00616E99" w:rsidRPr="00616E99" w:rsidRDefault="00616E99" w:rsidP="00616E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Récupérer un sel à partir de sa solution aqueuse.</w:t>
            </w:r>
          </w:p>
        </w:tc>
        <w:tc>
          <w:tcPr>
            <w:tcW w:w="5400" w:type="dxa"/>
          </w:tcPr>
          <w:p w14:paraId="3BF09F31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14:paraId="191801C1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14:paraId="4908129E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14:paraId="55BF1881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14:paraId="1F1BF64A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14:paraId="0EC43E2A" w14:textId="77777777" w:rsidR="00616E99" w:rsidRPr="00702E3E" w:rsidRDefault="00616E99" w:rsidP="004A1B99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74956B" wp14:editId="1B94FCD2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79375</wp:posOffset>
                      </wp:positionV>
                      <wp:extent cx="255905" cy="0"/>
                      <wp:effectExtent l="9525" t="60960" r="20320" b="5334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9D9F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3.6pt;margin-top:6.25pt;width:2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14:paraId="19919D76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806" w:type="dxa"/>
          </w:tcPr>
          <w:p w14:paraId="0252874C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14:paraId="331D1067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D0B162F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14:paraId="2D5F06F5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</w:p>
          <w:p w14:paraId="319A9E7A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14:paraId="13BE6E03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14:paraId="0B8F2BB4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E8C5E3A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A0795A3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232E89D" w14:textId="4357C5B1" w:rsidR="00EA6FDD" w:rsidRPr="00616E99" w:rsidRDefault="00EA6FDD" w:rsidP="00616E99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</w:pPr>
    </w:p>
    <w:sectPr w:rsidR="00EA6FDD" w:rsidRPr="00616E99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22BDB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36D0"/>
  <w15:docId w15:val="{1DACBAC7-9A13-4706-A687-E01C81BF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4</cp:revision>
  <dcterms:created xsi:type="dcterms:W3CDTF">2020-09-30T11:03:00Z</dcterms:created>
  <dcterms:modified xsi:type="dcterms:W3CDTF">2020-10-07T07:52:00Z</dcterms:modified>
</cp:coreProperties>
</file>